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2FFD5" w14:textId="2CCB1F62" w:rsidR="007C005B" w:rsidRDefault="007C005B" w:rsidP="00A140A3">
      <w:pPr>
        <w:rPr>
          <w:rFonts w:ascii="Times New Roman" w:hAnsi="Times New Roman"/>
          <w:color w:val="000000"/>
        </w:rPr>
      </w:pPr>
      <w:bookmarkStart w:id="0" w:name="_Hlk104202730"/>
      <w:r>
        <w:rPr>
          <w:rFonts w:ascii="Times New Roman" w:hAnsi="Times New Roman"/>
          <w:color w:val="000000"/>
        </w:rPr>
        <w:t xml:space="preserve">Souther, S., M. Sample, G. Conley, and C. Aslan. 2022. Demographic analysis of the endangered plant </w:t>
      </w:r>
      <w:r>
        <w:rPr>
          <w:rFonts w:ascii="Times New Roman" w:hAnsi="Times New Roman"/>
          <w:i/>
          <w:iCs/>
          <w:color w:val="000000"/>
        </w:rPr>
        <w:t>Pectis imberbis</w:t>
      </w:r>
      <w:r>
        <w:rPr>
          <w:rFonts w:ascii="Times New Roman" w:hAnsi="Times New Roman"/>
          <w:color w:val="000000"/>
        </w:rPr>
        <w:t xml:space="preserve"> highlights tradeoffs between deer browse and interspecific competition. Natural Areas Journal 42(3).</w:t>
      </w:r>
    </w:p>
    <w:bookmarkEnd w:id="0"/>
    <w:p w14:paraId="077FBD3C" w14:textId="77777777" w:rsidR="007C005B" w:rsidRPr="007C005B" w:rsidRDefault="007C005B" w:rsidP="00A140A3">
      <w:pPr>
        <w:rPr>
          <w:rFonts w:ascii="Times New Roman" w:hAnsi="Times New Roman"/>
          <w:color w:val="000000"/>
        </w:rPr>
      </w:pPr>
    </w:p>
    <w:p w14:paraId="7065A408" w14:textId="47151BA9" w:rsidR="005B564E" w:rsidRPr="00A140A3" w:rsidRDefault="00A140A3" w:rsidP="00A140A3">
      <w:pPr>
        <w:rPr>
          <w:rFonts w:ascii="Times New Roman" w:hAnsi="Times New Roman" w:cs="Times New Roman"/>
          <w:b/>
          <w:bCs/>
          <w:i/>
          <w:iCs/>
        </w:rPr>
      </w:pPr>
      <w:r w:rsidRPr="00A140A3">
        <w:rPr>
          <w:rFonts w:ascii="Times New Roman" w:hAnsi="Times New Roman"/>
          <w:b/>
          <w:bCs/>
          <w:i/>
          <w:iCs/>
          <w:color w:val="000000"/>
        </w:rPr>
        <w:t>Integral Projection Model (IPM) Development</w:t>
      </w:r>
      <w:r w:rsidR="005B564E" w:rsidRPr="00A140A3">
        <w:rPr>
          <w:rFonts w:ascii="Times New Roman" w:hAnsi="Times New Roman"/>
          <w:b/>
          <w:bCs/>
          <w:i/>
          <w:iCs/>
        </w:rPr>
        <w:t>—</w:t>
      </w:r>
    </w:p>
    <w:p w14:paraId="6016A3F8" w14:textId="77777777" w:rsidR="00A140A3" w:rsidRDefault="00A140A3" w:rsidP="00A140A3">
      <w:pPr>
        <w:spacing w:line="480" w:lineRule="auto"/>
        <w:rPr>
          <w:rFonts w:ascii="Times New Roman" w:hAnsi="Times New Roman"/>
          <w:i/>
          <w:iCs/>
        </w:rPr>
      </w:pPr>
    </w:p>
    <w:p w14:paraId="649C3351" w14:textId="572FCEA0" w:rsidR="00A140A3" w:rsidRPr="00A140A3" w:rsidRDefault="00A140A3" w:rsidP="00A140A3">
      <w:pPr>
        <w:spacing w:line="480" w:lineRule="auto"/>
        <w:rPr>
          <w:rFonts w:ascii="Times New Roman" w:hAnsi="Times New Roman"/>
        </w:rPr>
      </w:pPr>
      <w:r w:rsidRPr="00A140A3">
        <w:rPr>
          <w:rFonts w:ascii="Times New Roman" w:hAnsi="Times New Roman"/>
          <w:i/>
          <w:iCs/>
        </w:rPr>
        <w:t>Establishing demographic measurements</w:t>
      </w:r>
    </w:p>
    <w:p w14:paraId="4D31E703" w14:textId="52137C12" w:rsidR="00115EA7" w:rsidRDefault="005B564E" w:rsidP="00115EA7">
      <w:pPr>
        <w:spacing w:line="480" w:lineRule="auto"/>
        <w:ind w:firstLine="720"/>
        <w:rPr>
          <w:rFonts w:ascii="Times New Roman" w:hAnsi="Times New Roman"/>
        </w:rPr>
      </w:pPr>
      <w:r>
        <w:rPr>
          <w:rFonts w:ascii="Times New Roman" w:hAnsi="Times New Roman"/>
        </w:rPr>
        <w:t>In order to parameterize Integral Project Models (IPMs) for demographic analysis, a continuous state variable, typically a metric of size, must explain variation among individuals in reproduction and survival. In September 2019 (9/17/19), we collected a variety of</w:t>
      </w:r>
      <w:r w:rsidRPr="003E3371">
        <w:rPr>
          <w:rFonts w:ascii="Times New Roman" w:hAnsi="Times New Roman"/>
        </w:rPr>
        <w:t xml:space="preserve"> </w:t>
      </w:r>
      <w:r>
        <w:rPr>
          <w:rFonts w:ascii="Times New Roman" w:hAnsi="Times New Roman"/>
        </w:rPr>
        <w:t xml:space="preserve">size measurements on </w:t>
      </w:r>
      <w:r w:rsidRPr="003E3371">
        <w:rPr>
          <w:rFonts w:ascii="Times New Roman" w:hAnsi="Times New Roman"/>
          <w:i/>
          <w:iCs/>
        </w:rPr>
        <w:t>P</w:t>
      </w:r>
      <w:r>
        <w:rPr>
          <w:rFonts w:ascii="Times New Roman" w:hAnsi="Times New Roman"/>
          <w:i/>
          <w:iCs/>
        </w:rPr>
        <w:t>.</w:t>
      </w:r>
      <w:r w:rsidRPr="003E3371">
        <w:rPr>
          <w:rFonts w:ascii="Times New Roman" w:hAnsi="Times New Roman"/>
          <w:i/>
          <w:iCs/>
        </w:rPr>
        <w:t xml:space="preserve"> imberbis</w:t>
      </w:r>
      <w:r w:rsidRPr="003E3371">
        <w:rPr>
          <w:rFonts w:ascii="Times New Roman" w:hAnsi="Times New Roman"/>
        </w:rPr>
        <w:t>, including</w:t>
      </w:r>
      <w:r>
        <w:rPr>
          <w:rFonts w:ascii="Times New Roman" w:hAnsi="Times New Roman"/>
        </w:rPr>
        <w:t xml:space="preserve"> </w:t>
      </w:r>
      <w:r w:rsidRPr="003E3371">
        <w:rPr>
          <w:rFonts w:ascii="Times New Roman" w:hAnsi="Times New Roman"/>
        </w:rPr>
        <w:t xml:space="preserve">1) height of longest stem, 2) </w:t>
      </w:r>
      <w:r>
        <w:rPr>
          <w:rFonts w:ascii="Times New Roman" w:hAnsi="Times New Roman"/>
        </w:rPr>
        <w:t xml:space="preserve">summed </w:t>
      </w:r>
      <w:r w:rsidRPr="003E3371">
        <w:rPr>
          <w:rFonts w:ascii="Times New Roman" w:hAnsi="Times New Roman"/>
        </w:rPr>
        <w:t xml:space="preserve">height </w:t>
      </w:r>
      <w:r>
        <w:rPr>
          <w:rFonts w:ascii="Times New Roman" w:hAnsi="Times New Roman"/>
        </w:rPr>
        <w:t>of all</w:t>
      </w:r>
      <w:r w:rsidRPr="003E3371">
        <w:rPr>
          <w:rFonts w:ascii="Times New Roman" w:hAnsi="Times New Roman"/>
        </w:rPr>
        <w:t xml:space="preserve"> stems, 3) stem number, 4) leaf number </w:t>
      </w:r>
      <w:r>
        <w:rPr>
          <w:rFonts w:ascii="Times New Roman" w:hAnsi="Times New Roman"/>
        </w:rPr>
        <w:t xml:space="preserve">and </w:t>
      </w:r>
      <w:r w:rsidRPr="003E3371">
        <w:rPr>
          <w:rFonts w:ascii="Times New Roman" w:hAnsi="Times New Roman"/>
        </w:rPr>
        <w:t>5) length of the longest leaf</w:t>
      </w:r>
      <w:r>
        <w:rPr>
          <w:rFonts w:ascii="Times New Roman" w:hAnsi="Times New Roman"/>
        </w:rPr>
        <w:t>, in order to determine the best predictor of demographic vital rates. We then built statistical models and used the Aikaike Information Criterion (AIC) to compare model performance in predicting</w:t>
      </w:r>
      <w:r w:rsidRPr="003E3371">
        <w:rPr>
          <w:rFonts w:ascii="Times New Roman" w:hAnsi="Times New Roman"/>
        </w:rPr>
        <w:t xml:space="preserve"> </w:t>
      </w:r>
      <w:r>
        <w:rPr>
          <w:rFonts w:ascii="Times New Roman" w:hAnsi="Times New Roman"/>
        </w:rPr>
        <w:t xml:space="preserve">floral head number, a measure of reproduction. Models explored single factor predictors (e.g., height), as well as composite factors that represented combinations of state variables (e.g., leaves*height), and included both linear and polynomial fits. A total of 24 models were tested </w:t>
      </w:r>
      <w:r w:rsidR="00496D33">
        <w:rPr>
          <w:rFonts w:ascii="Times New Roman" w:hAnsi="Times New Roman"/>
        </w:rPr>
        <w:t xml:space="preserve">and height was selected as the best predictor of vital rates </w:t>
      </w:r>
      <w:r>
        <w:rPr>
          <w:rFonts w:ascii="Times New Roman" w:hAnsi="Times New Roman"/>
        </w:rPr>
        <w:t>(</w:t>
      </w:r>
      <w:r w:rsidRPr="00210947">
        <w:rPr>
          <w:rFonts w:ascii="Times New Roman" w:hAnsi="Times New Roman"/>
          <w:b/>
        </w:rPr>
        <w:t>Table 1</w:t>
      </w:r>
      <w:r>
        <w:rPr>
          <w:rFonts w:ascii="Times New Roman" w:hAnsi="Times New Roman"/>
        </w:rPr>
        <w:t xml:space="preserve">). </w:t>
      </w:r>
    </w:p>
    <w:p w14:paraId="508B91C9" w14:textId="77777777" w:rsidR="00496D33" w:rsidRDefault="00496D33" w:rsidP="00115EA7">
      <w:pPr>
        <w:spacing w:line="480" w:lineRule="auto"/>
        <w:ind w:firstLine="720"/>
        <w:rPr>
          <w:rFonts w:ascii="Times New Roman" w:hAnsi="Times New Roman"/>
        </w:rPr>
      </w:pPr>
    </w:p>
    <w:p w14:paraId="49632C94" w14:textId="77777777" w:rsidR="00496D33" w:rsidRPr="00925C16" w:rsidRDefault="00496D33" w:rsidP="00496D33">
      <w:pPr>
        <w:spacing w:line="480" w:lineRule="auto"/>
        <w:rPr>
          <w:rFonts w:ascii="Times New Roman" w:hAnsi="Times New Roman"/>
          <w:i/>
          <w:iCs/>
        </w:rPr>
      </w:pPr>
      <w:r w:rsidRPr="00925C16">
        <w:rPr>
          <w:rFonts w:ascii="Times New Roman" w:hAnsi="Times New Roman"/>
          <w:i/>
          <w:iCs/>
        </w:rPr>
        <w:t>Census timing</w:t>
      </w:r>
    </w:p>
    <w:p w14:paraId="7CB1F511" w14:textId="77777777" w:rsidR="00496D33" w:rsidRDefault="00496D33" w:rsidP="00496D33">
      <w:pPr>
        <w:spacing w:line="480" w:lineRule="auto"/>
        <w:ind w:firstLine="720"/>
        <w:rPr>
          <w:rFonts w:ascii="Times New Roman" w:hAnsi="Times New Roman"/>
        </w:rPr>
      </w:pPr>
      <w:r>
        <w:rPr>
          <w:rFonts w:ascii="Times New Roman" w:hAnsi="Times New Roman"/>
        </w:rPr>
        <w:t>To guide census timing, we measured height at 2 time points, once in June (19</w:t>
      </w:r>
      <w:r w:rsidRPr="007C1C04">
        <w:rPr>
          <w:rFonts w:ascii="Times New Roman" w:hAnsi="Times New Roman"/>
          <w:vertAlign w:val="superscript"/>
        </w:rPr>
        <w:t>th</w:t>
      </w:r>
      <w:r>
        <w:rPr>
          <w:rFonts w:ascii="Times New Roman" w:hAnsi="Times New Roman"/>
        </w:rPr>
        <w:t>) and again in September (5</w:t>
      </w:r>
      <w:r w:rsidRPr="007C1C04">
        <w:rPr>
          <w:rFonts w:ascii="Times New Roman" w:hAnsi="Times New Roman"/>
          <w:vertAlign w:val="superscript"/>
        </w:rPr>
        <w:t>th</w:t>
      </w:r>
      <w:r>
        <w:rPr>
          <w:rFonts w:ascii="Times New Roman" w:hAnsi="Times New Roman"/>
        </w:rPr>
        <w:t>) of 2020, to determine whether plant growth was determinant or continuous within a growing season. In June, plants had attained between 42% and 93% of their height as recorded in September, and were on average 69% their size in September, with larger plants having more fully developed. However, floral counts were difficult to ascertain in June, due to the immaturity of floral heads. We again revisited the population in October (16</w:t>
      </w:r>
      <w:r w:rsidRPr="003239FC">
        <w:rPr>
          <w:rFonts w:ascii="Times New Roman" w:hAnsi="Times New Roman"/>
          <w:vertAlign w:val="superscript"/>
        </w:rPr>
        <w:t>th</w:t>
      </w:r>
      <w:r>
        <w:rPr>
          <w:rFonts w:ascii="Times New Roman" w:hAnsi="Times New Roman"/>
        </w:rPr>
        <w:t xml:space="preserve">), but </w:t>
      </w:r>
      <w:r>
        <w:rPr>
          <w:rFonts w:ascii="Times New Roman" w:hAnsi="Times New Roman"/>
        </w:rPr>
        <w:lastRenderedPageBreak/>
        <w:t>found that floral heads and small seedlings were beginning to senescence at that time, again rendering reproductive counts difficult. For this reason, census data collected in September of both years were used in model development.</w:t>
      </w:r>
    </w:p>
    <w:p w14:paraId="6012929A" w14:textId="77777777" w:rsidR="00496D33" w:rsidRDefault="00496D33" w:rsidP="00115EA7">
      <w:pPr>
        <w:rPr>
          <w:rFonts w:ascii="Times New Roman" w:hAnsi="Times New Roman"/>
          <w:b/>
        </w:rPr>
      </w:pPr>
    </w:p>
    <w:p w14:paraId="3E40E1F6" w14:textId="438F0366" w:rsidR="00115EA7" w:rsidRDefault="00115EA7" w:rsidP="00115EA7">
      <w:pPr>
        <w:rPr>
          <w:rFonts w:ascii="Times New Roman" w:hAnsi="Times New Roman"/>
        </w:rPr>
      </w:pPr>
      <w:r w:rsidRPr="00E3359D">
        <w:rPr>
          <w:rFonts w:ascii="Times New Roman" w:hAnsi="Times New Roman"/>
          <w:b/>
        </w:rPr>
        <w:t>Table 1.</w:t>
      </w:r>
      <w:r>
        <w:rPr>
          <w:rFonts w:ascii="Times New Roman" w:hAnsi="Times New Roman"/>
        </w:rPr>
        <w:t xml:space="preserve"> Model rankings produced by AIC scores.</w:t>
      </w:r>
      <w:r>
        <w:rPr>
          <w:noProof/>
        </w:rPr>
        <w:drawing>
          <wp:anchor distT="0" distB="0" distL="114300" distR="114300" simplePos="0" relativeHeight="251659264" behindDoc="0" locked="0" layoutInCell="1" allowOverlap="1" wp14:anchorId="0586ADF8" wp14:editId="1ACCC063">
            <wp:simplePos x="0" y="0"/>
            <wp:positionH relativeFrom="column">
              <wp:posOffset>0</wp:posOffset>
            </wp:positionH>
            <wp:positionV relativeFrom="paragraph">
              <wp:posOffset>180975</wp:posOffset>
            </wp:positionV>
            <wp:extent cx="5943600" cy="3496945"/>
            <wp:effectExtent l="0" t="0" r="0" b="0"/>
            <wp:wrapSquare wrapText="bothSides"/>
            <wp:docPr id="6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3A151" w14:textId="77777777" w:rsidR="00CA4F7D" w:rsidRDefault="00CA4F7D" w:rsidP="00CD7D53">
      <w:pPr>
        <w:spacing w:line="480" w:lineRule="auto"/>
        <w:rPr>
          <w:rFonts w:ascii="Times New Roman" w:hAnsi="Times New Roman"/>
          <w:i/>
          <w:iCs/>
        </w:rPr>
      </w:pPr>
    </w:p>
    <w:p w14:paraId="00CA623D" w14:textId="61BE4616" w:rsidR="00CD7D53" w:rsidRDefault="00CD7D53" w:rsidP="00CD7D53">
      <w:pPr>
        <w:spacing w:line="480" w:lineRule="auto"/>
        <w:rPr>
          <w:rFonts w:ascii="Times New Roman" w:hAnsi="Times New Roman"/>
          <w:i/>
          <w:iCs/>
        </w:rPr>
      </w:pPr>
      <w:r w:rsidRPr="00272743">
        <w:rPr>
          <w:rFonts w:ascii="Times New Roman" w:hAnsi="Times New Roman"/>
          <w:i/>
          <w:iCs/>
        </w:rPr>
        <w:t>Model parameterization</w:t>
      </w:r>
    </w:p>
    <w:p w14:paraId="6F2761C0" w14:textId="77777777" w:rsidR="00CD7D53" w:rsidRPr="005C46A4" w:rsidRDefault="00CD7D53" w:rsidP="00CD7D53">
      <w:pPr>
        <w:spacing w:line="480" w:lineRule="auto"/>
        <w:ind w:firstLine="720"/>
        <w:rPr>
          <w:rFonts w:ascii="Times New Roman" w:hAnsi="Times New Roman"/>
        </w:rPr>
      </w:pPr>
      <w:r w:rsidRPr="005C46A4">
        <w:rPr>
          <w:rFonts w:ascii="Times New Roman" w:hAnsi="Times New Roman"/>
        </w:rPr>
        <w:t xml:space="preserve">The continuous state variable, total </w:t>
      </w:r>
      <w:r>
        <w:rPr>
          <w:rFonts w:ascii="Times New Roman" w:hAnsi="Times New Roman"/>
        </w:rPr>
        <w:t>plant height</w:t>
      </w:r>
      <w:r w:rsidRPr="005C46A4">
        <w:rPr>
          <w:rFonts w:ascii="Times New Roman" w:hAnsi="Times New Roman"/>
        </w:rPr>
        <w:t xml:space="preserve">, was used to explain individual variation in growth, survival, and reproduction in order to model population dynamics using Integral Projection Models (IPMs). </w:t>
      </w:r>
      <w:r>
        <w:rPr>
          <w:rFonts w:ascii="Times New Roman" w:hAnsi="Times New Roman"/>
        </w:rPr>
        <w:t xml:space="preserve">Variance in residuals describing the relationship describing growth was uniform without transformation of the state variable (Shapiro-Wilk normality test; W = 0.9964. p = 0.1210; </w:t>
      </w:r>
      <w:r w:rsidRPr="005C46A4">
        <w:rPr>
          <w:rFonts w:ascii="Times New Roman" w:hAnsi="Times New Roman"/>
          <w:b/>
          <w:bCs/>
        </w:rPr>
        <w:t xml:space="preserve">Fig. </w:t>
      </w:r>
      <w:r>
        <w:rPr>
          <w:rFonts w:ascii="Times New Roman" w:hAnsi="Times New Roman"/>
          <w:b/>
          <w:bCs/>
        </w:rPr>
        <w:t>1</w:t>
      </w:r>
      <w:r>
        <w:rPr>
          <w:rFonts w:ascii="Times New Roman" w:hAnsi="Times New Roman"/>
        </w:rPr>
        <w:t xml:space="preserve">). In order to parameterize the </w:t>
      </w:r>
      <w:r w:rsidRPr="009B1896">
        <w:rPr>
          <w:rFonts w:ascii="Times New Roman" w:hAnsi="Times New Roman"/>
          <w:i/>
          <w:iCs/>
        </w:rPr>
        <w:t>P</w:t>
      </w:r>
      <w:r>
        <w:rPr>
          <w:rFonts w:ascii="Times New Roman" w:hAnsi="Times New Roman"/>
        </w:rPr>
        <w:t xml:space="preserve"> sub-kernel, height was related to survival and growth and linear and polynomial models compared using the Akaike Information Criterion (AIC) (</w:t>
      </w:r>
      <w:r w:rsidRPr="001129C7">
        <w:rPr>
          <w:rFonts w:ascii="Times New Roman" w:hAnsi="Times New Roman"/>
          <w:b/>
          <w:bCs/>
        </w:rPr>
        <w:t xml:space="preserve">Fig. </w:t>
      </w:r>
      <w:r>
        <w:rPr>
          <w:rFonts w:ascii="Times New Roman" w:hAnsi="Times New Roman"/>
          <w:b/>
          <w:bCs/>
        </w:rPr>
        <w:t>2</w:t>
      </w:r>
      <w:r>
        <w:rPr>
          <w:rFonts w:ascii="Times New Roman" w:hAnsi="Times New Roman"/>
        </w:rPr>
        <w:t xml:space="preserve">). Based on model comparisons, second degree terms were included for </w:t>
      </w:r>
      <w:r>
        <w:rPr>
          <w:rFonts w:ascii="Times New Roman" w:hAnsi="Times New Roman"/>
        </w:rPr>
        <w:lastRenderedPageBreak/>
        <w:t xml:space="preserve">both growth and survival models to form the </w:t>
      </w:r>
      <w:r w:rsidRPr="009B1896">
        <w:rPr>
          <w:rFonts w:ascii="Times New Roman" w:hAnsi="Times New Roman"/>
          <w:i/>
          <w:iCs/>
        </w:rPr>
        <w:t>P</w:t>
      </w:r>
      <w:r>
        <w:rPr>
          <w:rFonts w:ascii="Times New Roman" w:hAnsi="Times New Roman"/>
        </w:rPr>
        <w:t xml:space="preserve"> sub-kernel (</w:t>
      </w:r>
      <w:r w:rsidRPr="00E577C5">
        <w:rPr>
          <w:rFonts w:ascii="Times New Roman" w:hAnsi="Times New Roman"/>
          <w:b/>
          <w:bCs/>
        </w:rPr>
        <w:t xml:space="preserve">Fig. </w:t>
      </w:r>
      <w:r>
        <w:rPr>
          <w:rFonts w:ascii="Times New Roman" w:hAnsi="Times New Roman"/>
          <w:b/>
          <w:bCs/>
        </w:rPr>
        <w:t>3</w:t>
      </w:r>
      <w:r>
        <w:rPr>
          <w:rFonts w:ascii="Times New Roman" w:hAnsi="Times New Roman"/>
        </w:rPr>
        <w:t xml:space="preserve">). We ran diagnostics on the P matrix to determine whether the dimensions of the matrix (bin N = 100) were appropriate and to test for eviction. </w:t>
      </w:r>
      <w:r w:rsidRPr="00432168">
        <w:rPr>
          <w:rFonts w:ascii="Times New Roman" w:hAnsi="Times New Roman"/>
        </w:rPr>
        <w:t>During the discretization process, individuals with sizes near model limits may be ‘evicted’ from the model if their future size exceeds these limits, with eviction leading to inaccuracies in growth rate estimates.</w:t>
      </w:r>
      <w:r>
        <w:rPr>
          <w:rFonts w:ascii="Times New Roman" w:hAnsi="Times New Roman"/>
        </w:rPr>
        <w:t xml:space="preserve"> No eviction from the model was detected, so no correction was applied, and models were unresponsive to bin number alteration, thus a bin number of 100 was retained (</w:t>
      </w:r>
      <w:r w:rsidRPr="007F637D">
        <w:rPr>
          <w:rFonts w:ascii="Times New Roman" w:hAnsi="Times New Roman"/>
          <w:b/>
          <w:bCs/>
        </w:rPr>
        <w:t xml:space="preserve">Fig. </w:t>
      </w:r>
      <w:r>
        <w:rPr>
          <w:rFonts w:ascii="Times New Roman" w:hAnsi="Times New Roman"/>
          <w:b/>
          <w:bCs/>
        </w:rPr>
        <w:t>4</w:t>
      </w:r>
      <w:r>
        <w:rPr>
          <w:rFonts w:ascii="Times New Roman" w:hAnsi="Times New Roman"/>
        </w:rPr>
        <w:t xml:space="preserve">). </w:t>
      </w:r>
    </w:p>
    <w:p w14:paraId="54DDE74E" w14:textId="36453513" w:rsidR="00CD7D53" w:rsidRDefault="00CD7D53" w:rsidP="00CD7D53">
      <w:pPr>
        <w:spacing w:line="480" w:lineRule="auto"/>
        <w:ind w:firstLine="720"/>
        <w:rPr>
          <w:rFonts w:ascii="Times New Roman" w:hAnsi="Times New Roman"/>
        </w:rPr>
      </w:pPr>
      <w:r>
        <w:rPr>
          <w:rFonts w:ascii="Times New Roman" w:hAnsi="Times New Roman"/>
        </w:rPr>
        <w:t>Parameterization of the F matrix was more complex, since we were only able to gather reproductive data from a subsample of individuals in year 1. However, a complete census was possible in year 2 of the study, allowing us to compare models between years to ensure appropriate parameters were selected for F matrix construction based on subsampled reproductive data. Model ranking procedures for both the year 1 subsample and year 2 models selected the same model for likelihood of flowering, which was best predicted by linear models (</w:t>
      </w:r>
      <w:r w:rsidRPr="00AF021B">
        <w:rPr>
          <w:rFonts w:ascii="Times New Roman" w:hAnsi="Times New Roman"/>
          <w:b/>
          <w:bCs/>
        </w:rPr>
        <w:t xml:space="preserve">Fig. </w:t>
      </w:r>
      <w:r>
        <w:rPr>
          <w:rFonts w:ascii="Times New Roman" w:hAnsi="Times New Roman"/>
          <w:b/>
          <w:bCs/>
        </w:rPr>
        <w:t>5</w:t>
      </w:r>
      <w:r>
        <w:rPr>
          <w:rFonts w:ascii="Times New Roman" w:hAnsi="Times New Roman"/>
        </w:rPr>
        <w:t>), and seed production, which was best predicted by models including polynomial terms (</w:t>
      </w:r>
      <w:r w:rsidRPr="00AF021B">
        <w:rPr>
          <w:rFonts w:ascii="Times New Roman" w:hAnsi="Times New Roman"/>
          <w:b/>
          <w:bCs/>
        </w:rPr>
        <w:t xml:space="preserve">Fig. </w:t>
      </w:r>
      <w:r>
        <w:rPr>
          <w:rFonts w:ascii="Times New Roman" w:hAnsi="Times New Roman"/>
          <w:b/>
          <w:bCs/>
        </w:rPr>
        <w:t>6</w:t>
      </w:r>
      <w:r>
        <w:rPr>
          <w:rFonts w:ascii="Times New Roman" w:hAnsi="Times New Roman"/>
        </w:rPr>
        <w:t>). Using the relationships between height and flowering probability and seed production from data in year 1 for a subset of the population, we were able to estimate reproduction for the rest of the population, using the following equations derived from logistic and Poisson GLM models, respectively:</w:t>
      </w:r>
    </w:p>
    <w:p w14:paraId="5FFF7792" w14:textId="455541CC" w:rsidR="00CD7D53" w:rsidRPr="006977B7" w:rsidRDefault="005F5E7A" w:rsidP="005F5E7A">
      <w:pPr>
        <w:spacing w:line="480" w:lineRule="auto"/>
        <w:ind w:firstLine="720"/>
        <w:rPr>
          <w:rFonts w:ascii="Times New Roman" w:hAnsi="Times New Roman"/>
        </w:rPr>
      </w:pPr>
      <m:oMathPara>
        <m:oMath>
          <m:r>
            <w:rPr>
              <w:rFonts w:ascii="Cambria Math" w:hAnsi="Cambria Math"/>
            </w:rPr>
            <m:t xml:space="preserve">Probability of flowering=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-(-2.36+</m:t>
                  </m:r>
                  <m:d>
                    <m:dPr>
                      <m:ctrlPr>
                        <w:rPr>
                          <w:rFonts w:ascii="Cambria Math" w:hAnsi="Cambria Math"/>
                          <w:i/>
                        </w:rPr>
                      </m:ctrlPr>
                    </m:dPr>
                    <m:e>
                      <m:r>
                        <w:rPr>
                          <w:rFonts w:ascii="Cambria Math" w:hAnsi="Cambria Math"/>
                        </w:rPr>
                        <m:t>0.09*Height</m:t>
                      </m:r>
                    </m:e>
                  </m:d>
                  <m:r>
                    <w:rPr>
                      <w:rFonts w:ascii="Cambria Math" w:hAnsi="Cambria Math"/>
                    </w:rPr>
                    <m:t>)</m:t>
                  </m:r>
                </m:sup>
              </m:sSup>
            </m:den>
          </m:f>
        </m:oMath>
      </m:oMathPara>
    </w:p>
    <w:p w14:paraId="669B0CE1" w14:textId="5082C7C9" w:rsidR="00CD7D53" w:rsidRDefault="006E72A7" w:rsidP="00CD7D53">
      <w:pPr>
        <w:spacing w:line="480" w:lineRule="auto"/>
        <w:rPr>
          <w:rFonts w:ascii="Times New Roman" w:hAnsi="Times New Roman"/>
        </w:rPr>
      </w:pPr>
      <w:r>
        <w:rPr>
          <w:rFonts w:ascii="Times New Roman" w:hAnsi="Times New Roman"/>
        </w:rPr>
        <w:t>a</w:t>
      </w:r>
      <w:r w:rsidR="00CD7D53">
        <w:rPr>
          <w:rFonts w:ascii="Times New Roman" w:hAnsi="Times New Roman"/>
        </w:rPr>
        <w:t>nd</w:t>
      </w:r>
    </w:p>
    <w:p w14:paraId="50366636" w14:textId="571A97F8" w:rsidR="00686147" w:rsidRDefault="00065F63" w:rsidP="000203E8">
      <w:pPr>
        <w:spacing w:line="480" w:lineRule="auto"/>
        <w:rPr>
          <w:rFonts w:ascii="Times New Roman" w:hAnsi="Times New Roman"/>
        </w:rPr>
      </w:pPr>
      <m:oMathPara>
        <m:oMath>
          <m:r>
            <w:rPr>
              <w:rFonts w:ascii="Cambria Math" w:hAnsi="Cambria Math"/>
            </w:rPr>
            <m:t>Seed number=</m:t>
          </m:r>
          <m:sSup>
            <m:sSupPr>
              <m:ctrlPr>
                <w:rPr>
                  <w:rFonts w:ascii="Cambria Math" w:hAnsi="Cambria Math"/>
                  <w:i/>
                </w:rPr>
              </m:ctrlPr>
            </m:sSupPr>
            <m:e>
              <m:r>
                <w:rPr>
                  <w:rFonts w:ascii="Cambria Math" w:hAnsi="Cambria Math"/>
                </w:rPr>
                <m:t>e</m:t>
              </m:r>
            </m:e>
            <m:sup>
              <m:r>
                <w:rPr>
                  <w:rFonts w:ascii="Cambria Math" w:hAnsi="Cambria Math"/>
                </w:rPr>
                <m:t>2.44+0.07*Height-0.0002*</m:t>
              </m:r>
              <m:sSup>
                <m:sSupPr>
                  <m:ctrlPr>
                    <w:rPr>
                      <w:rFonts w:ascii="Cambria Math" w:hAnsi="Cambria Math"/>
                      <w:i/>
                    </w:rPr>
                  </m:ctrlPr>
                </m:sSupPr>
                <m:e>
                  <m:r>
                    <w:rPr>
                      <w:rFonts w:ascii="Cambria Math" w:hAnsi="Cambria Math"/>
                    </w:rPr>
                    <m:t>Height</m:t>
                  </m:r>
                </m:e>
                <m:sup>
                  <m:r>
                    <w:rPr>
                      <w:rFonts w:ascii="Cambria Math" w:hAnsi="Cambria Math"/>
                    </w:rPr>
                    <m:t>2</m:t>
                  </m:r>
                </m:sup>
              </m:sSup>
            </m:sup>
          </m:sSup>
        </m:oMath>
      </m:oMathPara>
    </w:p>
    <w:p w14:paraId="1042FF3F" w14:textId="0E911D11" w:rsidR="00CD7D53" w:rsidRDefault="00CD7D53" w:rsidP="00CD7D53">
      <w:pPr>
        <w:spacing w:line="480" w:lineRule="auto"/>
        <w:ind w:firstLine="720"/>
        <w:rPr>
          <w:rFonts w:ascii="Times New Roman" w:hAnsi="Times New Roman"/>
        </w:rPr>
      </w:pPr>
      <w:r>
        <w:rPr>
          <w:rFonts w:ascii="Times New Roman" w:hAnsi="Times New Roman"/>
        </w:rPr>
        <w:t xml:space="preserve">For final seed count estimates, production was contingent on flowering, and a plant was scored as having produced flowers if the likelihood was or exceeded a threshold of 0.75. While </w:t>
      </w:r>
      <w:r>
        <w:rPr>
          <w:rFonts w:ascii="Times New Roman" w:hAnsi="Times New Roman"/>
        </w:rPr>
        <w:lastRenderedPageBreak/>
        <w:t>these estimates are sources of uncertainty in the model, ultimately seed production is extremely high relative to seedling recruitment, and models were constructed to depend principally on observed seedling numbers, which were accurately assessed. Thus, the final F sub-kernel model consists of a size-based probability of flowering, seed production contingent on flowering derived from floral head counts and the resultant size distribution of observed germinants, which ultimately determined entry of new individuals, arising from seed production the previous year, into the population (</w:t>
      </w:r>
      <w:r w:rsidRPr="00426C16">
        <w:rPr>
          <w:rFonts w:ascii="Times New Roman" w:hAnsi="Times New Roman"/>
          <w:b/>
          <w:bCs/>
        </w:rPr>
        <w:t>Fig</w:t>
      </w:r>
      <w:r>
        <w:rPr>
          <w:rFonts w:ascii="Times New Roman" w:hAnsi="Times New Roman"/>
          <w:b/>
          <w:bCs/>
        </w:rPr>
        <w:t>.</w:t>
      </w:r>
      <w:r w:rsidRPr="00426C16">
        <w:rPr>
          <w:rFonts w:ascii="Times New Roman" w:hAnsi="Times New Roman"/>
          <w:b/>
          <w:bCs/>
        </w:rPr>
        <w:t xml:space="preserve"> </w:t>
      </w:r>
      <w:r>
        <w:rPr>
          <w:rFonts w:ascii="Times New Roman" w:hAnsi="Times New Roman"/>
          <w:b/>
          <w:bCs/>
        </w:rPr>
        <w:t>7</w:t>
      </w:r>
      <w:r>
        <w:rPr>
          <w:rFonts w:ascii="Times New Roman" w:hAnsi="Times New Roman"/>
        </w:rPr>
        <w:t xml:space="preserve">). Based on P and F sub-kernel evaluations, these final four equations describing the predictive relationship between </w:t>
      </w:r>
      <w:r w:rsidRPr="00223B70">
        <w:rPr>
          <w:rFonts w:ascii="Times New Roman" w:hAnsi="Times New Roman"/>
          <w:i/>
          <w:iCs/>
        </w:rPr>
        <w:t>P. imberbis</w:t>
      </w:r>
      <w:r>
        <w:rPr>
          <w:rFonts w:ascii="Times New Roman" w:hAnsi="Times New Roman"/>
        </w:rPr>
        <w:t xml:space="preserve"> height and survival, growth, probability of flowering, and seed production, along with the size distribution of observed seedlings, form the structure of the IPM model to examine population dynamics (</w:t>
      </w:r>
      <w:r w:rsidRPr="00EE288A">
        <w:rPr>
          <w:rFonts w:ascii="Times New Roman" w:hAnsi="Times New Roman"/>
          <w:b/>
          <w:bCs/>
        </w:rPr>
        <w:t>Fig.</w:t>
      </w:r>
      <w:r>
        <w:rPr>
          <w:rFonts w:ascii="Times New Roman" w:hAnsi="Times New Roman"/>
          <w:b/>
          <w:bCs/>
        </w:rPr>
        <w:t xml:space="preserve"> 8, 9)</w:t>
      </w:r>
      <w:r>
        <w:rPr>
          <w:rFonts w:ascii="Times New Roman" w:hAnsi="Times New Roman"/>
        </w:rPr>
        <w:t>.</w:t>
      </w:r>
    </w:p>
    <w:p w14:paraId="7014DADB" w14:textId="77777777" w:rsidR="000203E8" w:rsidRDefault="000203E8" w:rsidP="00CD7D53">
      <w:pPr>
        <w:spacing w:line="480" w:lineRule="auto"/>
        <w:ind w:firstLine="720"/>
        <w:rPr>
          <w:rFonts w:ascii="Times New Roman" w:hAnsi="Times New Roman"/>
        </w:rPr>
      </w:pPr>
    </w:p>
    <w:p w14:paraId="05B25483" w14:textId="77777777" w:rsidR="000203E8" w:rsidRPr="00DA75DF" w:rsidRDefault="000203E8" w:rsidP="000203E8">
      <w:pPr>
        <w:spacing w:line="480" w:lineRule="auto"/>
        <w:rPr>
          <w:rFonts w:ascii="Times New Roman" w:hAnsi="Times New Roman"/>
          <w:i/>
          <w:iCs/>
        </w:rPr>
      </w:pPr>
      <w:r>
        <w:rPr>
          <w:rFonts w:ascii="Times New Roman" w:hAnsi="Times New Roman"/>
          <w:i/>
          <w:iCs/>
        </w:rPr>
        <w:t>Seed bank dynamics</w:t>
      </w:r>
    </w:p>
    <w:p w14:paraId="2560D326" w14:textId="475D0877" w:rsidR="000203E8" w:rsidRDefault="000203E8" w:rsidP="000203E8">
      <w:pPr>
        <w:spacing w:line="480" w:lineRule="auto"/>
        <w:rPr>
          <w:rFonts w:ascii="Times New Roman" w:hAnsi="Times New Roman"/>
        </w:rPr>
      </w:pPr>
      <w:r>
        <w:rPr>
          <w:rFonts w:ascii="Times New Roman" w:hAnsi="Times New Roman"/>
        </w:rPr>
        <w:t xml:space="preserve">We </w:t>
      </w:r>
      <w:r w:rsidRPr="00EE534E">
        <w:rPr>
          <w:rFonts w:ascii="Times New Roman" w:hAnsi="Times New Roman"/>
        </w:rPr>
        <w:t xml:space="preserve">calculated that 541 reproductive individuals </w:t>
      </w:r>
      <w:r>
        <w:rPr>
          <w:rFonts w:ascii="Times New Roman" w:hAnsi="Times New Roman"/>
        </w:rPr>
        <w:t xml:space="preserve">produced </w:t>
      </w:r>
      <w:r w:rsidRPr="00EE534E">
        <w:rPr>
          <w:rFonts w:ascii="Times New Roman" w:hAnsi="Times New Roman"/>
        </w:rPr>
        <w:t xml:space="preserve">an estimated 233,294 seeds in year 1. A total of 7 germinants were observed in year 2, dividing </w:t>
      </w:r>
      <w:r>
        <w:rPr>
          <w:rFonts w:ascii="Times New Roman" w:hAnsi="Times New Roman"/>
        </w:rPr>
        <w:t xml:space="preserve">the number of germinants </w:t>
      </w:r>
      <w:r w:rsidRPr="00EE534E">
        <w:rPr>
          <w:rFonts w:ascii="Times New Roman" w:hAnsi="Times New Roman"/>
        </w:rPr>
        <w:t>by seed number</w:t>
      </w:r>
      <w:r>
        <w:rPr>
          <w:rFonts w:ascii="Times New Roman" w:hAnsi="Times New Roman"/>
        </w:rPr>
        <w:t xml:space="preserve"> minus the seeds used in the seed cage experiment (233,294-500=232,794)</w:t>
      </w:r>
      <w:r w:rsidRPr="00EE534E">
        <w:rPr>
          <w:rFonts w:ascii="Times New Roman" w:hAnsi="Times New Roman"/>
        </w:rPr>
        <w:t xml:space="preserve"> </w:t>
      </w:r>
      <w:r>
        <w:rPr>
          <w:rFonts w:ascii="Times New Roman" w:hAnsi="Times New Roman"/>
        </w:rPr>
        <w:t>yielded</w:t>
      </w:r>
      <w:r w:rsidRPr="00EE534E">
        <w:rPr>
          <w:rFonts w:ascii="Times New Roman" w:hAnsi="Times New Roman"/>
        </w:rPr>
        <w:t xml:space="preserve"> a </w:t>
      </w:r>
      <w:r>
        <w:rPr>
          <w:rFonts w:ascii="Times New Roman" w:hAnsi="Times New Roman"/>
        </w:rPr>
        <w:t xml:space="preserve">‘natural’ </w:t>
      </w:r>
      <w:r w:rsidRPr="00EE534E">
        <w:rPr>
          <w:rFonts w:ascii="Times New Roman" w:hAnsi="Times New Roman"/>
        </w:rPr>
        <w:t xml:space="preserve">germination rate </w:t>
      </w:r>
      <w:r>
        <w:rPr>
          <w:rFonts w:ascii="Times New Roman" w:hAnsi="Times New Roman"/>
        </w:rPr>
        <w:t xml:space="preserve">(germination occurring within the population, not within seed cages) </w:t>
      </w:r>
      <w:r w:rsidRPr="00EE534E">
        <w:rPr>
          <w:rFonts w:ascii="Times New Roman" w:hAnsi="Times New Roman"/>
        </w:rPr>
        <w:t>of 0.003%. No</w:t>
      </w:r>
      <w:r>
        <w:rPr>
          <w:rFonts w:ascii="Times New Roman" w:hAnsi="Times New Roman"/>
        </w:rPr>
        <w:t xml:space="preserve">tably, this is a lower germination rate than that calculated from the seed cage experiment, which estimated a germination rate of 0.4% (2 germinants per 500 seeds planted). For modeling purposes, to best approximate germination rates, we created a germination rate based on all observed germinants, including the two germinants from seed cages (Total germinants = 9), divided by the total seed count. Further studies of seed and seedling dynamics are warranted, though discrepancies in germination rates are unlikely to strongly influence </w:t>
      </w:r>
      <w:r>
        <w:rPr>
          <w:rFonts w:ascii="Times New Roman" w:hAnsi="Times New Roman"/>
        </w:rPr>
        <w:lastRenderedPageBreak/>
        <w:t>demographic model outcomes, since recruitment rates are low and sensitivity analyses do not indicate that population growth is strongly influenced by this life stage.</w:t>
      </w:r>
    </w:p>
    <w:p w14:paraId="7EA11EB6" w14:textId="06243683" w:rsidR="00CD7D53" w:rsidRDefault="00CD7D53" w:rsidP="00CD7D53">
      <w:pPr>
        <w:spacing w:line="480" w:lineRule="auto"/>
        <w:rPr>
          <w:rFonts w:ascii="Times New Roman" w:hAnsi="Times New Roman"/>
        </w:rPr>
      </w:pPr>
    </w:p>
    <w:p w14:paraId="1D8D0443" w14:textId="77777777" w:rsidR="00CD7D53" w:rsidRPr="00D51CF5" w:rsidRDefault="00CD7D53" w:rsidP="00CD7D53">
      <w:pPr>
        <w:rPr>
          <w:rFonts w:ascii="Times New Roman" w:hAnsi="Times New Roman"/>
          <w:b/>
          <w:bCs/>
          <w:iCs/>
        </w:rPr>
      </w:pPr>
      <w:r w:rsidRPr="00676913">
        <w:rPr>
          <w:rFonts w:ascii="Times New Roman" w:hAnsi="Times New Roman"/>
          <w:b/>
          <w:bCs/>
          <w:iCs/>
        </w:rPr>
        <w:t>Figures</w:t>
      </w:r>
    </w:p>
    <w:p w14:paraId="45E92EAB" w14:textId="77777777" w:rsidR="00CD7D53" w:rsidRDefault="00CD7D53" w:rsidP="00CD7D53">
      <w:r w:rsidRPr="00E71225">
        <w:rPr>
          <w:noProof/>
        </w:rPr>
        <w:drawing>
          <wp:inline distT="0" distB="0" distL="0" distR="0" wp14:anchorId="77C3E0A7" wp14:editId="308E5DA8">
            <wp:extent cx="5943600" cy="2976880"/>
            <wp:effectExtent l="0" t="0" r="0" b="0"/>
            <wp:docPr id="4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76880"/>
                    </a:xfrm>
                    <a:prstGeom prst="rect">
                      <a:avLst/>
                    </a:prstGeom>
                    <a:noFill/>
                    <a:ln>
                      <a:noFill/>
                    </a:ln>
                  </pic:spPr>
                </pic:pic>
              </a:graphicData>
            </a:graphic>
          </wp:inline>
        </w:drawing>
      </w:r>
    </w:p>
    <w:p w14:paraId="1DB03608" w14:textId="77777777" w:rsidR="00CD7D53" w:rsidRDefault="00CD7D53" w:rsidP="00CD7D53">
      <w:pPr>
        <w:rPr>
          <w:rFonts w:ascii="Times New Roman" w:hAnsi="Times New Roman"/>
        </w:rPr>
      </w:pPr>
      <w:r w:rsidRPr="004F657D">
        <w:rPr>
          <w:rFonts w:ascii="Times New Roman" w:hAnsi="Times New Roman"/>
          <w:b/>
          <w:bCs/>
        </w:rPr>
        <w:t xml:space="preserve">Figure </w:t>
      </w:r>
      <w:r>
        <w:rPr>
          <w:rFonts w:ascii="Times New Roman" w:hAnsi="Times New Roman"/>
          <w:b/>
          <w:bCs/>
        </w:rPr>
        <w:t>1</w:t>
      </w:r>
      <w:r w:rsidRPr="005C46A4">
        <w:rPr>
          <w:rFonts w:ascii="Times New Roman" w:hAnsi="Times New Roman"/>
        </w:rPr>
        <w:t xml:space="preserve">. </w:t>
      </w:r>
      <w:r>
        <w:rPr>
          <w:rFonts w:ascii="Times New Roman" w:hAnsi="Times New Roman"/>
        </w:rPr>
        <w:t xml:space="preserve">The relationship between </w:t>
      </w:r>
      <w:r w:rsidRPr="00223B70">
        <w:rPr>
          <w:rFonts w:ascii="Times New Roman" w:hAnsi="Times New Roman"/>
          <w:i/>
          <w:iCs/>
        </w:rPr>
        <w:t>P. imberbis</w:t>
      </w:r>
      <w:r w:rsidRPr="005C46A4">
        <w:rPr>
          <w:rFonts w:ascii="Times New Roman" w:hAnsi="Times New Roman"/>
        </w:rPr>
        <w:t xml:space="preserve"> </w:t>
      </w:r>
      <w:r>
        <w:rPr>
          <w:rFonts w:ascii="Times New Roman" w:hAnsi="Times New Roman"/>
        </w:rPr>
        <w:t>size in year 1 and year 2 (Panel 1) and quantile-quantile plot (Panel 2).</w:t>
      </w:r>
    </w:p>
    <w:p w14:paraId="3364542B" w14:textId="77777777" w:rsidR="00CD7D53" w:rsidRDefault="00CD7D53" w:rsidP="00CD7D53">
      <w:pPr>
        <w:rPr>
          <w:rFonts w:ascii="Times New Roman" w:hAnsi="Times New Roman"/>
        </w:rPr>
      </w:pPr>
    </w:p>
    <w:p w14:paraId="2AFDBBD5" w14:textId="77777777" w:rsidR="00CD7D53" w:rsidRDefault="00CD7D53" w:rsidP="00CD7D53">
      <w:pPr>
        <w:rPr>
          <w:rFonts w:ascii="Times New Roman" w:hAnsi="Times New Roman"/>
        </w:rPr>
      </w:pPr>
      <w:r w:rsidRPr="006B66A6">
        <w:rPr>
          <w:rFonts w:ascii="Times New Roman" w:hAnsi="Times New Roman"/>
          <w:noProof/>
        </w:rPr>
        <w:drawing>
          <wp:inline distT="0" distB="0" distL="0" distR="0" wp14:anchorId="60ABBA97" wp14:editId="3722146A">
            <wp:extent cx="5943600" cy="2987675"/>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pic:spPr>
                </pic:pic>
              </a:graphicData>
            </a:graphic>
          </wp:inline>
        </w:drawing>
      </w:r>
    </w:p>
    <w:p w14:paraId="631B956C" w14:textId="77777777" w:rsidR="00CD7D53" w:rsidRDefault="00CD7D53" w:rsidP="00CD7D53">
      <w:pPr>
        <w:rPr>
          <w:rFonts w:ascii="Times New Roman" w:hAnsi="Times New Roman"/>
        </w:rPr>
      </w:pPr>
      <w:r w:rsidRPr="004B32F3">
        <w:rPr>
          <w:rFonts w:ascii="Times New Roman" w:hAnsi="Times New Roman"/>
          <w:b/>
          <w:bCs/>
        </w:rPr>
        <w:t xml:space="preserve">Figure </w:t>
      </w:r>
      <w:r>
        <w:rPr>
          <w:rFonts w:ascii="Times New Roman" w:hAnsi="Times New Roman"/>
          <w:b/>
          <w:bCs/>
        </w:rPr>
        <w:t>2</w:t>
      </w:r>
      <w:r>
        <w:rPr>
          <w:rFonts w:ascii="Times New Roman" w:hAnsi="Times New Roman"/>
        </w:rPr>
        <w:t>. Comparisons of linear and polynomial growth (Panel 1) and survival (Panel 2) models.</w:t>
      </w:r>
    </w:p>
    <w:p w14:paraId="34402F2B" w14:textId="77777777" w:rsidR="00CD7D53" w:rsidRDefault="00CD7D53" w:rsidP="00CD7D53">
      <w:pPr>
        <w:rPr>
          <w:rFonts w:ascii="Times New Roman" w:hAnsi="Times New Roman"/>
        </w:rPr>
      </w:pPr>
      <w:r w:rsidRPr="006B66A6">
        <w:rPr>
          <w:rFonts w:ascii="Times New Roman" w:hAnsi="Times New Roman"/>
          <w:noProof/>
        </w:rPr>
        <w:lastRenderedPageBreak/>
        <w:drawing>
          <wp:inline distT="0" distB="0" distL="0" distR="0" wp14:anchorId="3175ED04" wp14:editId="497B024C">
            <wp:extent cx="3649133" cy="3928533"/>
            <wp:effectExtent l="0" t="0" r="0" b="0"/>
            <wp:docPr id="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951" cy="3931567"/>
                    </a:xfrm>
                    <a:prstGeom prst="rect">
                      <a:avLst/>
                    </a:prstGeom>
                    <a:noFill/>
                    <a:ln>
                      <a:noFill/>
                    </a:ln>
                  </pic:spPr>
                </pic:pic>
              </a:graphicData>
            </a:graphic>
          </wp:inline>
        </w:drawing>
      </w:r>
    </w:p>
    <w:p w14:paraId="1D5E63C8" w14:textId="77777777" w:rsidR="00CD7D53" w:rsidRDefault="00CD7D53" w:rsidP="00CD7D53">
      <w:pPr>
        <w:rPr>
          <w:rFonts w:ascii="Times New Roman" w:hAnsi="Times New Roman"/>
        </w:rPr>
      </w:pPr>
      <w:r w:rsidRPr="005231C8">
        <w:rPr>
          <w:rFonts w:ascii="Times New Roman" w:hAnsi="Times New Roman"/>
          <w:b/>
          <w:bCs/>
        </w:rPr>
        <w:t xml:space="preserve">Figure </w:t>
      </w:r>
      <w:r>
        <w:rPr>
          <w:rFonts w:ascii="Times New Roman" w:hAnsi="Times New Roman"/>
          <w:b/>
          <w:bCs/>
        </w:rPr>
        <w:t>3</w:t>
      </w:r>
      <w:r w:rsidRPr="005231C8">
        <w:rPr>
          <w:rFonts w:ascii="Times New Roman" w:hAnsi="Times New Roman"/>
          <w:b/>
          <w:bCs/>
        </w:rPr>
        <w:t>.</w:t>
      </w:r>
      <w:r>
        <w:rPr>
          <w:rFonts w:ascii="Times New Roman" w:hAnsi="Times New Roman"/>
        </w:rPr>
        <w:t xml:space="preserve"> Visualization of the P sub-kernel. The dashed line indicates stasis, while individuals that fall above the line grow and below the line shrink. Maximum size can be approximated where the growth model crosses the one-to-one line, indicating that while there is the possibility that individuals will grow beyond that size, in this case ca. 80 cm in height, they will have the tendency to shrink to smaller size classes in subsequent years.  </w:t>
      </w:r>
    </w:p>
    <w:p w14:paraId="4926BD5B" w14:textId="77777777" w:rsidR="00CD7D53" w:rsidRDefault="00CD7D53" w:rsidP="00CD7D53">
      <w:pPr>
        <w:rPr>
          <w:rFonts w:ascii="Times New Roman" w:hAnsi="Times New Roman"/>
        </w:rPr>
      </w:pPr>
    </w:p>
    <w:p w14:paraId="6E3B33C2" w14:textId="77777777" w:rsidR="00CD7D53" w:rsidRDefault="00CD7D53" w:rsidP="00CD7D53">
      <w:pPr>
        <w:rPr>
          <w:rFonts w:ascii="Times New Roman" w:hAnsi="Times New Roman"/>
        </w:rPr>
      </w:pPr>
      <w:r w:rsidRPr="006B66A6">
        <w:rPr>
          <w:rFonts w:ascii="Times New Roman" w:hAnsi="Times New Roman"/>
          <w:noProof/>
        </w:rPr>
        <w:drawing>
          <wp:inline distT="0" distB="0" distL="0" distR="0" wp14:anchorId="262CCFF7" wp14:editId="2032F107">
            <wp:extent cx="5656580" cy="2689860"/>
            <wp:effectExtent l="0" t="0" r="0" b="0"/>
            <wp:docPr id="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0">
                      <a:extLst>
                        <a:ext uri="{28A0092B-C50C-407E-A947-70E740481C1C}">
                          <a14:useLocalDpi xmlns:a14="http://schemas.microsoft.com/office/drawing/2010/main" val="0"/>
                        </a:ext>
                      </a:extLst>
                    </a:blip>
                    <a:srcRect t="27283" b="27303"/>
                    <a:stretch>
                      <a:fillRect/>
                    </a:stretch>
                  </pic:blipFill>
                  <pic:spPr bwMode="auto">
                    <a:xfrm>
                      <a:off x="0" y="0"/>
                      <a:ext cx="5656580" cy="2689860"/>
                    </a:xfrm>
                    <a:prstGeom prst="rect">
                      <a:avLst/>
                    </a:prstGeom>
                    <a:noFill/>
                    <a:ln>
                      <a:noFill/>
                    </a:ln>
                  </pic:spPr>
                </pic:pic>
              </a:graphicData>
            </a:graphic>
          </wp:inline>
        </w:drawing>
      </w:r>
    </w:p>
    <w:p w14:paraId="703D824C" w14:textId="77777777" w:rsidR="00CD7D53" w:rsidRDefault="00CD7D53" w:rsidP="00CD7D53">
      <w:pPr>
        <w:rPr>
          <w:rFonts w:ascii="Times New Roman" w:hAnsi="Times New Roman"/>
        </w:rPr>
      </w:pPr>
      <w:r w:rsidRPr="000E203B">
        <w:rPr>
          <w:rFonts w:ascii="Times New Roman" w:hAnsi="Times New Roman"/>
          <w:b/>
          <w:bCs/>
        </w:rPr>
        <w:t xml:space="preserve">Figure </w:t>
      </w:r>
      <w:r>
        <w:rPr>
          <w:rFonts w:ascii="Times New Roman" w:hAnsi="Times New Roman"/>
          <w:b/>
          <w:bCs/>
        </w:rPr>
        <w:t>4</w:t>
      </w:r>
      <w:r>
        <w:rPr>
          <w:rFonts w:ascii="Times New Roman" w:hAnsi="Times New Roman"/>
        </w:rPr>
        <w:t xml:space="preserve">. A summary of P matrix diagnostics. </w:t>
      </w:r>
      <w:r w:rsidRPr="00432168">
        <w:rPr>
          <w:rFonts w:ascii="Times New Roman" w:hAnsi="Times New Roman"/>
        </w:rPr>
        <w:t xml:space="preserve">The first panel (left) shows the range of the state variable (black line) and the distribution of the data, indicated by the grey histogram. The red and blue arrows in the left panel indicate the data range of two additional P matrices, one with a </w:t>
      </w:r>
      <w:r w:rsidRPr="00432168">
        <w:rPr>
          <w:rFonts w:ascii="Times New Roman" w:hAnsi="Times New Roman"/>
        </w:rPr>
        <w:lastRenderedPageBreak/>
        <w:t xml:space="preserve">larger size range and one with an increased number of bins, respectively, which are </w:t>
      </w:r>
      <w:r>
        <w:rPr>
          <w:rFonts w:ascii="Times New Roman" w:hAnsi="Times New Roman"/>
        </w:rPr>
        <w:t>explored</w:t>
      </w:r>
      <w:r w:rsidRPr="00432168">
        <w:rPr>
          <w:rFonts w:ascii="Times New Roman" w:hAnsi="Times New Roman"/>
        </w:rPr>
        <w:t xml:space="preserve"> in following 2 panels of the figured by comparing with the true P matrix. </w:t>
      </w:r>
      <w:r>
        <w:rPr>
          <w:rFonts w:ascii="Times New Roman" w:hAnsi="Times New Roman"/>
        </w:rPr>
        <w:t>Eviction would be apparent in the ‘Survival’ and ‘Life expectancy’ panels if an increase in size range resulted in disagreement with the actual P model. This was not the case, however, and no correction for eviction was applied. Similarly, alteration of bin size, or the dimensions of the discretized matrix (bin number = 100) did not alter model output, again suggesting that this parameter was appropriately selected.</w:t>
      </w:r>
    </w:p>
    <w:p w14:paraId="02BCA250" w14:textId="77777777" w:rsidR="00CD7D53" w:rsidRDefault="00CD7D53" w:rsidP="00CD7D53">
      <w:pPr>
        <w:rPr>
          <w:rFonts w:ascii="Times New Roman" w:hAnsi="Times New Roman"/>
        </w:rPr>
      </w:pPr>
    </w:p>
    <w:p w14:paraId="19AB7E8D" w14:textId="77777777" w:rsidR="00CD7D53" w:rsidRDefault="00CD7D53" w:rsidP="00CD7D53">
      <w:pPr>
        <w:rPr>
          <w:rFonts w:ascii="Times New Roman" w:hAnsi="Times New Roman"/>
        </w:rPr>
      </w:pPr>
      <w:r w:rsidRPr="006B66A6">
        <w:rPr>
          <w:rFonts w:ascii="Times New Roman" w:hAnsi="Times New Roman"/>
          <w:noProof/>
        </w:rPr>
        <w:drawing>
          <wp:inline distT="0" distB="0" distL="0" distR="0" wp14:anchorId="5D555928" wp14:editId="5E145732">
            <wp:extent cx="5816600" cy="3005666"/>
            <wp:effectExtent l="0" t="0" r="0" b="4445"/>
            <wp:docPr id="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857" cy="3011999"/>
                    </a:xfrm>
                    <a:prstGeom prst="rect">
                      <a:avLst/>
                    </a:prstGeom>
                    <a:noFill/>
                    <a:ln>
                      <a:noFill/>
                    </a:ln>
                  </pic:spPr>
                </pic:pic>
              </a:graphicData>
            </a:graphic>
          </wp:inline>
        </w:drawing>
      </w:r>
    </w:p>
    <w:p w14:paraId="6322B67F" w14:textId="77777777" w:rsidR="00CD7D53" w:rsidRDefault="00CD7D53" w:rsidP="00CD7D53">
      <w:pPr>
        <w:rPr>
          <w:rFonts w:ascii="Times New Roman" w:hAnsi="Times New Roman"/>
        </w:rPr>
      </w:pPr>
    </w:p>
    <w:p w14:paraId="45C01DB9" w14:textId="77777777" w:rsidR="00CD7D53" w:rsidRDefault="00CD7D53" w:rsidP="00CD7D53">
      <w:pPr>
        <w:rPr>
          <w:rFonts w:ascii="Times New Roman" w:hAnsi="Times New Roman"/>
        </w:rPr>
      </w:pPr>
      <w:r w:rsidRPr="00D51CF5">
        <w:rPr>
          <w:rFonts w:ascii="Times New Roman" w:hAnsi="Times New Roman"/>
          <w:b/>
          <w:bCs/>
        </w:rPr>
        <w:t>Figure 5</w:t>
      </w:r>
      <w:r>
        <w:rPr>
          <w:rFonts w:ascii="Times New Roman" w:hAnsi="Times New Roman"/>
        </w:rPr>
        <w:t>. Comparison of models predicting the likelihood of flowering based on plant height in 2019 (Panel 1) and 2020 (Panel 2).</w:t>
      </w:r>
    </w:p>
    <w:p w14:paraId="76411826" w14:textId="77777777" w:rsidR="00CD7D53" w:rsidRDefault="00CD7D53" w:rsidP="00CD7D53">
      <w:pPr>
        <w:rPr>
          <w:rFonts w:ascii="Times New Roman" w:hAnsi="Times New Roman"/>
        </w:rPr>
      </w:pPr>
    </w:p>
    <w:p w14:paraId="3A4850C2" w14:textId="77777777" w:rsidR="00CD7D53" w:rsidRDefault="00CD7D53" w:rsidP="00CD7D53">
      <w:pPr>
        <w:rPr>
          <w:rFonts w:ascii="Times New Roman" w:hAnsi="Times New Roman"/>
        </w:rPr>
      </w:pPr>
      <w:r w:rsidRPr="006B66A6">
        <w:rPr>
          <w:rFonts w:ascii="Times New Roman" w:hAnsi="Times New Roman"/>
          <w:noProof/>
        </w:rPr>
        <w:drawing>
          <wp:inline distT="0" distB="0" distL="0" distR="0" wp14:anchorId="6FF4B916" wp14:editId="1A6D658C">
            <wp:extent cx="5943600" cy="2987675"/>
            <wp:effectExtent l="0" t="0" r="0" b="0"/>
            <wp:docPr id="4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pic:spPr>
                </pic:pic>
              </a:graphicData>
            </a:graphic>
          </wp:inline>
        </w:drawing>
      </w:r>
    </w:p>
    <w:p w14:paraId="034EEC23" w14:textId="77777777" w:rsidR="00CD7D53" w:rsidRDefault="00CD7D53" w:rsidP="00CD7D53">
      <w:pPr>
        <w:rPr>
          <w:rFonts w:ascii="Times New Roman" w:hAnsi="Times New Roman"/>
        </w:rPr>
      </w:pPr>
      <w:r w:rsidRPr="00D51CF5">
        <w:rPr>
          <w:rFonts w:ascii="Times New Roman" w:hAnsi="Times New Roman"/>
          <w:b/>
          <w:bCs/>
        </w:rPr>
        <w:lastRenderedPageBreak/>
        <w:t xml:space="preserve">Figure </w:t>
      </w:r>
      <w:r>
        <w:rPr>
          <w:rFonts w:ascii="Times New Roman" w:hAnsi="Times New Roman"/>
          <w:b/>
          <w:bCs/>
        </w:rPr>
        <w:t>6</w:t>
      </w:r>
      <w:r>
        <w:rPr>
          <w:rFonts w:ascii="Times New Roman" w:hAnsi="Times New Roman"/>
        </w:rPr>
        <w:t>. Comparison of models predicting seed production from plant height in 2019 (Panel 1) and 2020 (Panel 2).</w:t>
      </w:r>
    </w:p>
    <w:p w14:paraId="05C59D09" w14:textId="77777777" w:rsidR="00CD7D53" w:rsidRDefault="00CD7D53" w:rsidP="00CD7D53">
      <w:pPr>
        <w:rPr>
          <w:rFonts w:ascii="Times New Roman" w:hAnsi="Times New Roman"/>
        </w:rPr>
      </w:pPr>
      <w:r w:rsidRPr="006B66A6">
        <w:rPr>
          <w:rFonts w:ascii="Times New Roman" w:hAnsi="Times New Roman"/>
          <w:noProof/>
        </w:rPr>
        <w:drawing>
          <wp:inline distT="0" distB="0" distL="0" distR="0" wp14:anchorId="71DD7CB4" wp14:editId="4F3BA072">
            <wp:extent cx="2743200" cy="2751667"/>
            <wp:effectExtent l="0" t="0" r="0" b="4445"/>
            <wp:docPr id="4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417" cy="2795017"/>
                    </a:xfrm>
                    <a:prstGeom prst="rect">
                      <a:avLst/>
                    </a:prstGeom>
                    <a:noFill/>
                    <a:ln>
                      <a:noFill/>
                    </a:ln>
                  </pic:spPr>
                </pic:pic>
              </a:graphicData>
            </a:graphic>
          </wp:inline>
        </w:drawing>
      </w:r>
    </w:p>
    <w:p w14:paraId="09261D18" w14:textId="77777777" w:rsidR="00CD7D53" w:rsidRDefault="00CD7D53" w:rsidP="00CD7D53">
      <w:pPr>
        <w:rPr>
          <w:rFonts w:ascii="Times New Roman" w:hAnsi="Times New Roman"/>
        </w:rPr>
      </w:pPr>
      <w:r w:rsidRPr="00297E61">
        <w:rPr>
          <w:rFonts w:ascii="Times New Roman" w:hAnsi="Times New Roman"/>
          <w:b/>
          <w:bCs/>
        </w:rPr>
        <w:t>Figure 7</w:t>
      </w:r>
      <w:r>
        <w:rPr>
          <w:rFonts w:ascii="Times New Roman" w:hAnsi="Times New Roman"/>
        </w:rPr>
        <w:t>. Visualization of the F sub-kernel. As with standard matrix modeling, each cell of the matrix indicates the transition probability from size at time t to a size at time t + 1. Here, the largest individuals within the population contribute the most to seedling recruitment.</w:t>
      </w:r>
    </w:p>
    <w:p w14:paraId="1636DC62" w14:textId="77777777" w:rsidR="00CD7D53" w:rsidRDefault="00CD7D53" w:rsidP="00CD7D53">
      <w:pPr>
        <w:rPr>
          <w:rFonts w:ascii="Times New Roman" w:hAnsi="Times New Roman"/>
        </w:rPr>
      </w:pPr>
      <w:r w:rsidRPr="006B66A6">
        <w:rPr>
          <w:rFonts w:ascii="Times New Roman" w:hAnsi="Times New Roman"/>
          <w:noProof/>
        </w:rPr>
        <w:drawing>
          <wp:inline distT="0" distB="0" distL="0" distR="0" wp14:anchorId="57030AB0" wp14:editId="43D276ED">
            <wp:extent cx="5300133" cy="4563533"/>
            <wp:effectExtent l="0" t="0" r="0" b="0"/>
            <wp:docPr id="4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2322" cy="4565418"/>
                    </a:xfrm>
                    <a:prstGeom prst="rect">
                      <a:avLst/>
                    </a:prstGeom>
                    <a:noFill/>
                    <a:ln>
                      <a:noFill/>
                    </a:ln>
                  </pic:spPr>
                </pic:pic>
              </a:graphicData>
            </a:graphic>
          </wp:inline>
        </w:drawing>
      </w:r>
    </w:p>
    <w:p w14:paraId="51B14870" w14:textId="77777777" w:rsidR="00CD7D53" w:rsidRPr="001A3188" w:rsidRDefault="00CD7D53" w:rsidP="00CD7D53">
      <w:pPr>
        <w:rPr>
          <w:rFonts w:ascii="Times New Roman" w:hAnsi="Times New Roman"/>
        </w:rPr>
      </w:pPr>
      <w:r w:rsidRPr="001A3188">
        <w:rPr>
          <w:rFonts w:ascii="Times New Roman" w:hAnsi="Times New Roman"/>
          <w:b/>
        </w:rPr>
        <w:lastRenderedPageBreak/>
        <w:t xml:space="preserve">Figure </w:t>
      </w:r>
      <w:r>
        <w:rPr>
          <w:rFonts w:ascii="Times New Roman" w:hAnsi="Times New Roman"/>
          <w:b/>
        </w:rPr>
        <w:t>8</w:t>
      </w:r>
      <w:r w:rsidRPr="001A3188">
        <w:rPr>
          <w:rFonts w:ascii="Times New Roman" w:hAnsi="Times New Roman"/>
          <w:b/>
        </w:rPr>
        <w:t>.</w:t>
      </w:r>
      <w:r w:rsidRPr="001A3188">
        <w:rPr>
          <w:rFonts w:ascii="Times New Roman" w:hAnsi="Times New Roman"/>
        </w:rPr>
        <w:t xml:space="preserve"> The relationship of size to </w:t>
      </w:r>
      <w:r>
        <w:rPr>
          <w:rFonts w:ascii="Times New Roman" w:hAnsi="Times New Roman"/>
        </w:rPr>
        <w:t>A</w:t>
      </w:r>
      <w:r w:rsidRPr="001A3188">
        <w:rPr>
          <w:rFonts w:ascii="Times New Roman" w:hAnsi="Times New Roman"/>
        </w:rPr>
        <w:t xml:space="preserve">) size the following year, </w:t>
      </w:r>
      <w:r>
        <w:rPr>
          <w:rFonts w:ascii="Times New Roman" w:hAnsi="Times New Roman"/>
        </w:rPr>
        <w:t>B</w:t>
      </w:r>
      <w:r w:rsidRPr="001A3188">
        <w:rPr>
          <w:rFonts w:ascii="Times New Roman" w:hAnsi="Times New Roman"/>
        </w:rPr>
        <w:t xml:space="preserve">) probability of survival, </w:t>
      </w:r>
      <w:r>
        <w:rPr>
          <w:rFonts w:ascii="Times New Roman" w:hAnsi="Times New Roman"/>
        </w:rPr>
        <w:t>C</w:t>
      </w:r>
      <w:r w:rsidRPr="001A3188">
        <w:rPr>
          <w:rFonts w:ascii="Times New Roman" w:hAnsi="Times New Roman"/>
        </w:rPr>
        <w:t xml:space="preserve">) probability of flowering </w:t>
      </w:r>
      <w:r>
        <w:rPr>
          <w:rFonts w:ascii="Times New Roman" w:hAnsi="Times New Roman"/>
        </w:rPr>
        <w:t>and D</w:t>
      </w:r>
      <w:r w:rsidRPr="001A3188">
        <w:rPr>
          <w:rFonts w:ascii="Times New Roman" w:hAnsi="Times New Roman"/>
        </w:rPr>
        <w:t xml:space="preserve">) seed production.  In all cases, size is a predictor of y. For each of the underlying regressions used to build growth, survival, and reproduction data, multiple fits were explored and the model of best fit was chosen as the model with the lowest AIC score. </w:t>
      </w:r>
    </w:p>
    <w:p w14:paraId="1934C369" w14:textId="77777777" w:rsidR="00CD7D53" w:rsidRDefault="00CD7D53" w:rsidP="00CD7D53">
      <w:pPr>
        <w:rPr>
          <w:rFonts w:ascii="Times New Roman" w:hAnsi="Times New Roman"/>
        </w:rPr>
      </w:pPr>
    </w:p>
    <w:p w14:paraId="18395B01" w14:textId="77777777" w:rsidR="00CD7D53" w:rsidRDefault="00CD7D53" w:rsidP="00CD7D53">
      <w:pPr>
        <w:rPr>
          <w:rFonts w:ascii="Times New Roman" w:hAnsi="Times New Roman"/>
        </w:rPr>
      </w:pPr>
      <w:r w:rsidRPr="006B66A6">
        <w:rPr>
          <w:rFonts w:ascii="Times New Roman" w:hAnsi="Times New Roman"/>
          <w:noProof/>
        </w:rPr>
        <w:drawing>
          <wp:inline distT="0" distB="0" distL="0" distR="0" wp14:anchorId="50015A56" wp14:editId="5EF3735A">
            <wp:extent cx="5167630" cy="4029710"/>
            <wp:effectExtent l="0" t="0" r="0" b="0"/>
            <wp:docPr id="4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7630" cy="4029710"/>
                    </a:xfrm>
                    <a:prstGeom prst="rect">
                      <a:avLst/>
                    </a:prstGeom>
                    <a:noFill/>
                    <a:ln>
                      <a:noFill/>
                    </a:ln>
                  </pic:spPr>
                </pic:pic>
              </a:graphicData>
            </a:graphic>
          </wp:inline>
        </w:drawing>
      </w:r>
    </w:p>
    <w:p w14:paraId="6B64F041" w14:textId="3D8712C6" w:rsidR="00CD7D53" w:rsidRDefault="00CD7D53" w:rsidP="00CD7D53">
      <w:pPr>
        <w:rPr>
          <w:rFonts w:ascii="Times New Roman" w:hAnsi="Times New Roman"/>
        </w:rPr>
      </w:pPr>
      <w:r w:rsidRPr="00EE476A">
        <w:rPr>
          <w:rFonts w:ascii="Times New Roman" w:hAnsi="Times New Roman"/>
          <w:b/>
          <w:bCs/>
        </w:rPr>
        <w:t>Figure 9</w:t>
      </w:r>
      <w:r>
        <w:rPr>
          <w:rFonts w:ascii="Times New Roman" w:hAnsi="Times New Roman"/>
        </w:rPr>
        <w:t>. Visualization of the final IPM model, including both P and F sub-kernels.</w:t>
      </w:r>
    </w:p>
    <w:p w14:paraId="3CF4B5D3" w14:textId="77777777" w:rsidR="005B564E" w:rsidRPr="005B564E" w:rsidRDefault="005B564E">
      <w:pPr>
        <w:rPr>
          <w:rFonts w:ascii="Times New Roman" w:hAnsi="Times New Roman" w:cs="Times New Roman"/>
        </w:rPr>
      </w:pPr>
    </w:p>
    <w:sectPr w:rsidR="005B564E" w:rsidRPr="005B564E" w:rsidSect="0083331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5CEB6" w14:textId="77777777" w:rsidR="00F50724" w:rsidRDefault="00F50724" w:rsidP="002E081B">
      <w:r>
        <w:separator/>
      </w:r>
    </w:p>
  </w:endnote>
  <w:endnote w:type="continuationSeparator" w:id="0">
    <w:p w14:paraId="465BCE04" w14:textId="77777777" w:rsidR="00F50724" w:rsidRDefault="00F50724" w:rsidP="002E0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7650" w14:textId="77777777" w:rsidR="00FD3222" w:rsidRDefault="00FD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CB41" w14:textId="77777777" w:rsidR="00FD3222" w:rsidRDefault="00FD32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3EFC" w14:textId="77777777" w:rsidR="00FD3222" w:rsidRDefault="00FD3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2D45A" w14:textId="77777777" w:rsidR="00F50724" w:rsidRDefault="00F50724" w:rsidP="002E081B">
      <w:r>
        <w:separator/>
      </w:r>
    </w:p>
  </w:footnote>
  <w:footnote w:type="continuationSeparator" w:id="0">
    <w:p w14:paraId="1735C5F5" w14:textId="77777777" w:rsidR="00F50724" w:rsidRDefault="00F50724" w:rsidP="002E0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1D01" w14:textId="77777777" w:rsidR="00FD3222" w:rsidRDefault="00FD3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816F" w14:textId="68B02CB2" w:rsidR="002E081B" w:rsidRDefault="002E081B">
    <w:pPr>
      <w:pStyle w:val="Header"/>
    </w:pPr>
    <w:r>
      <w:t>Souther et al.  – Appendix S1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E701" w14:textId="77777777" w:rsidR="00FD3222" w:rsidRDefault="00FD32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388"/>
    <w:rsid w:val="000203E8"/>
    <w:rsid w:val="00065F63"/>
    <w:rsid w:val="00115EA7"/>
    <w:rsid w:val="00125503"/>
    <w:rsid w:val="001323A9"/>
    <w:rsid w:val="001743DF"/>
    <w:rsid w:val="00182666"/>
    <w:rsid w:val="00194578"/>
    <w:rsid w:val="00216541"/>
    <w:rsid w:val="002E081B"/>
    <w:rsid w:val="003324BE"/>
    <w:rsid w:val="00496D33"/>
    <w:rsid w:val="00551B63"/>
    <w:rsid w:val="005B564E"/>
    <w:rsid w:val="005F5E7A"/>
    <w:rsid w:val="00686147"/>
    <w:rsid w:val="006E72A7"/>
    <w:rsid w:val="007C005B"/>
    <w:rsid w:val="00833318"/>
    <w:rsid w:val="00907D20"/>
    <w:rsid w:val="009B527E"/>
    <w:rsid w:val="00A140A3"/>
    <w:rsid w:val="00AC1E5C"/>
    <w:rsid w:val="00CA4F7D"/>
    <w:rsid w:val="00CD7D53"/>
    <w:rsid w:val="00D65388"/>
    <w:rsid w:val="00DA75DF"/>
    <w:rsid w:val="00ED4726"/>
    <w:rsid w:val="00F50724"/>
    <w:rsid w:val="00FB70F0"/>
    <w:rsid w:val="00FD3222"/>
    <w:rsid w:val="00FF7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981BD"/>
  <w15:chartTrackingRefBased/>
  <w15:docId w15:val="{283C431A-396D-064A-8B2A-A1CD46112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527E"/>
    <w:rPr>
      <w:sz w:val="16"/>
      <w:szCs w:val="16"/>
    </w:rPr>
  </w:style>
  <w:style w:type="paragraph" w:styleId="CommentText">
    <w:name w:val="annotation text"/>
    <w:basedOn w:val="Normal"/>
    <w:link w:val="CommentTextChar"/>
    <w:uiPriority w:val="99"/>
    <w:semiHidden/>
    <w:unhideWhenUsed/>
    <w:rsid w:val="009B527E"/>
    <w:rPr>
      <w:sz w:val="20"/>
      <w:szCs w:val="20"/>
    </w:rPr>
  </w:style>
  <w:style w:type="character" w:customStyle="1" w:styleId="CommentTextChar">
    <w:name w:val="Comment Text Char"/>
    <w:basedOn w:val="DefaultParagraphFont"/>
    <w:link w:val="CommentText"/>
    <w:uiPriority w:val="99"/>
    <w:semiHidden/>
    <w:rsid w:val="009B527E"/>
    <w:rPr>
      <w:sz w:val="20"/>
      <w:szCs w:val="20"/>
    </w:rPr>
  </w:style>
  <w:style w:type="paragraph" w:styleId="CommentSubject">
    <w:name w:val="annotation subject"/>
    <w:basedOn w:val="CommentText"/>
    <w:next w:val="CommentText"/>
    <w:link w:val="CommentSubjectChar"/>
    <w:uiPriority w:val="99"/>
    <w:semiHidden/>
    <w:unhideWhenUsed/>
    <w:rsid w:val="009B527E"/>
    <w:rPr>
      <w:b/>
      <w:bCs/>
    </w:rPr>
  </w:style>
  <w:style w:type="character" w:customStyle="1" w:styleId="CommentSubjectChar">
    <w:name w:val="Comment Subject Char"/>
    <w:basedOn w:val="CommentTextChar"/>
    <w:link w:val="CommentSubject"/>
    <w:uiPriority w:val="99"/>
    <w:semiHidden/>
    <w:rsid w:val="009B527E"/>
    <w:rPr>
      <w:b/>
      <w:bCs/>
      <w:sz w:val="20"/>
      <w:szCs w:val="20"/>
    </w:rPr>
  </w:style>
  <w:style w:type="paragraph" w:styleId="BalloonText">
    <w:name w:val="Balloon Text"/>
    <w:basedOn w:val="Normal"/>
    <w:link w:val="BalloonTextChar"/>
    <w:uiPriority w:val="99"/>
    <w:semiHidden/>
    <w:unhideWhenUsed/>
    <w:rsid w:val="001945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4578"/>
    <w:rPr>
      <w:rFonts w:ascii="Times New Roman" w:hAnsi="Times New Roman" w:cs="Times New Roman"/>
      <w:sz w:val="18"/>
      <w:szCs w:val="18"/>
    </w:rPr>
  </w:style>
  <w:style w:type="paragraph" w:styleId="Header">
    <w:name w:val="header"/>
    <w:basedOn w:val="Normal"/>
    <w:link w:val="HeaderChar"/>
    <w:uiPriority w:val="99"/>
    <w:unhideWhenUsed/>
    <w:rsid w:val="002E081B"/>
    <w:pPr>
      <w:tabs>
        <w:tab w:val="center" w:pos="4680"/>
        <w:tab w:val="right" w:pos="9360"/>
      </w:tabs>
    </w:pPr>
  </w:style>
  <w:style w:type="character" w:customStyle="1" w:styleId="HeaderChar">
    <w:name w:val="Header Char"/>
    <w:basedOn w:val="DefaultParagraphFont"/>
    <w:link w:val="Header"/>
    <w:uiPriority w:val="99"/>
    <w:rsid w:val="002E081B"/>
  </w:style>
  <w:style w:type="paragraph" w:styleId="Footer">
    <w:name w:val="footer"/>
    <w:basedOn w:val="Normal"/>
    <w:link w:val="FooterChar"/>
    <w:uiPriority w:val="99"/>
    <w:unhideWhenUsed/>
    <w:rsid w:val="002E081B"/>
    <w:pPr>
      <w:tabs>
        <w:tab w:val="center" w:pos="4680"/>
        <w:tab w:val="right" w:pos="9360"/>
      </w:tabs>
    </w:pPr>
  </w:style>
  <w:style w:type="character" w:customStyle="1" w:styleId="FooterChar">
    <w:name w:val="Footer Char"/>
    <w:basedOn w:val="DefaultParagraphFont"/>
    <w:link w:val="Footer"/>
    <w:uiPriority w:val="99"/>
    <w:rsid w:val="002E081B"/>
  </w:style>
  <w:style w:type="character" w:styleId="PlaceholderText">
    <w:name w:val="Placeholder Text"/>
    <w:basedOn w:val="DefaultParagraphFont"/>
    <w:uiPriority w:val="99"/>
    <w:semiHidden/>
    <w:rsid w:val="005F5E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SWG</cp:lastModifiedBy>
  <cp:revision>16</cp:revision>
  <dcterms:created xsi:type="dcterms:W3CDTF">2021-01-07T23:24:00Z</dcterms:created>
  <dcterms:modified xsi:type="dcterms:W3CDTF">2022-05-23T20:17:00Z</dcterms:modified>
</cp:coreProperties>
</file>